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FE8A8" w14:textId="77777777" w:rsidR="00990065" w:rsidRPr="00990065" w:rsidRDefault="00990065" w:rsidP="00990065">
      <w:pPr>
        <w:shd w:val="clear" w:color="auto" w:fill="FFFFFF"/>
        <w:spacing w:after="0" w:line="240" w:lineRule="auto"/>
        <w:outlineLvl w:val="0"/>
        <w:rPr>
          <w:rFonts w:ascii="Lato" w:eastAsia="Times New Roman" w:hAnsi="Lato" w:cs="Times New Roman"/>
          <w:color w:val="CC3300"/>
          <w:kern w:val="36"/>
          <w:sz w:val="36"/>
          <w:szCs w:val="36"/>
          <w:lang w:eastAsia="fr-BE"/>
        </w:rPr>
      </w:pPr>
      <w:r w:rsidRPr="00990065">
        <w:rPr>
          <w:rFonts w:ascii="Lato" w:eastAsia="Times New Roman" w:hAnsi="Lato" w:cs="Times New Roman"/>
          <w:color w:val="CC3300"/>
          <w:kern w:val="36"/>
          <w:sz w:val="36"/>
          <w:szCs w:val="36"/>
          <w:lang w:eastAsia="fr-BE"/>
        </w:rPr>
        <w:t>L’ADEME livre son rapport de synthèse sur la transition du secteur de l’aluminium</w:t>
      </w:r>
    </w:p>
    <w:p w14:paraId="6D699136" w14:textId="77777777" w:rsidR="00990065" w:rsidRDefault="00990065" w:rsidP="00990065">
      <w:pPr>
        <w:shd w:val="clear" w:color="auto" w:fill="FFFFFF"/>
        <w:spacing w:before="75" w:after="75" w:line="240" w:lineRule="auto"/>
        <w:jc w:val="both"/>
        <w:rPr>
          <w:rFonts w:ascii="Lato" w:eastAsia="Times New Roman" w:hAnsi="Lato" w:cs="Times New Roman"/>
          <w:color w:val="3E001F"/>
          <w:sz w:val="30"/>
          <w:szCs w:val="30"/>
          <w:lang w:eastAsia="fr-BE"/>
        </w:rPr>
      </w:pPr>
    </w:p>
    <w:p w14:paraId="5ABC53B8" w14:textId="5C4C125E" w:rsidR="00990065" w:rsidRPr="00990065" w:rsidRDefault="00990065" w:rsidP="00990065">
      <w:pPr>
        <w:shd w:val="clear" w:color="auto" w:fill="FFFFFF"/>
        <w:spacing w:before="75" w:after="75" w:line="240" w:lineRule="auto"/>
        <w:jc w:val="both"/>
        <w:rPr>
          <w:rFonts w:ascii="Lato" w:eastAsia="Times New Roman" w:hAnsi="Lato" w:cs="Times New Roman"/>
          <w:color w:val="000000"/>
          <w:sz w:val="23"/>
          <w:szCs w:val="23"/>
          <w:lang w:eastAsia="fr-BE"/>
        </w:rPr>
      </w:pPr>
      <w:r w:rsidRPr="00990065">
        <w:rPr>
          <w:rFonts w:ascii="Lato" w:eastAsia="Times New Roman" w:hAnsi="Lato" w:cs="Times New Roman"/>
          <w:b/>
          <w:bCs/>
          <w:color w:val="000000"/>
          <w:sz w:val="23"/>
          <w:szCs w:val="23"/>
          <w:lang w:eastAsia="fr-BE"/>
        </w:rPr>
        <w:t>L’ADEME vient de rendre sa synthèse sur le Plan de Transition Sectoriel de l’aluminium en France, qui vise à accompagner les acteurs de la filière dans la décarbonation de leur activité. Ce plan propose deux trajectoires, l’une ouverte à l’international, qui s’appuie sur le recours à la technologie d’anode inerte, l’autre polarisée sur la région, qui implique le recours à la technologie de captage du carbone.</w:t>
      </w:r>
    </w:p>
    <w:p w14:paraId="05E498A2" w14:textId="77777777" w:rsidR="00990065" w:rsidRPr="00990065" w:rsidRDefault="00990065" w:rsidP="00990065">
      <w:pPr>
        <w:shd w:val="clear" w:color="auto" w:fill="FFFFFF"/>
        <w:spacing w:before="75" w:after="75" w:line="240" w:lineRule="auto"/>
        <w:jc w:val="both"/>
        <w:rPr>
          <w:rFonts w:ascii="Lato" w:eastAsia="Times New Roman" w:hAnsi="Lato" w:cs="Times New Roman"/>
          <w:color w:val="000000"/>
          <w:sz w:val="23"/>
          <w:szCs w:val="23"/>
          <w:lang w:eastAsia="fr-BE"/>
        </w:rPr>
      </w:pPr>
      <w:r w:rsidRPr="00990065">
        <w:rPr>
          <w:rFonts w:ascii="Lato" w:eastAsia="Times New Roman" w:hAnsi="Lato" w:cs="Times New Roman"/>
          <w:color w:val="000000"/>
          <w:sz w:val="23"/>
          <w:szCs w:val="23"/>
          <w:lang w:eastAsia="fr-BE"/>
        </w:rPr>
        <w:t> </w:t>
      </w:r>
    </w:p>
    <w:p w14:paraId="2DC029B6" w14:textId="77777777" w:rsidR="00990065" w:rsidRPr="00990065" w:rsidRDefault="00990065" w:rsidP="00990065">
      <w:pPr>
        <w:shd w:val="clear" w:color="auto" w:fill="FFFFFF"/>
        <w:spacing w:before="75" w:after="75" w:line="240" w:lineRule="auto"/>
        <w:jc w:val="both"/>
        <w:rPr>
          <w:rFonts w:ascii="Lato" w:eastAsia="Times New Roman" w:hAnsi="Lato" w:cs="Times New Roman"/>
          <w:color w:val="000000"/>
          <w:sz w:val="23"/>
          <w:szCs w:val="23"/>
          <w:lang w:eastAsia="fr-BE"/>
        </w:rPr>
      </w:pPr>
      <w:r w:rsidRPr="00990065">
        <w:rPr>
          <w:rFonts w:ascii="Lato" w:eastAsia="Times New Roman" w:hAnsi="Lato" w:cs="Times New Roman"/>
          <w:color w:val="000000"/>
          <w:sz w:val="23"/>
          <w:szCs w:val="23"/>
          <w:lang w:eastAsia="fr-BE"/>
        </w:rPr>
        <w:t xml:space="preserve">L’ADEME, avec le soutien du programme européen Finance </w:t>
      </w:r>
      <w:proofErr w:type="spellStart"/>
      <w:r w:rsidRPr="00990065">
        <w:rPr>
          <w:rFonts w:ascii="Lato" w:eastAsia="Times New Roman" w:hAnsi="Lato" w:cs="Times New Roman"/>
          <w:color w:val="000000"/>
          <w:sz w:val="23"/>
          <w:szCs w:val="23"/>
          <w:lang w:eastAsia="fr-BE"/>
        </w:rPr>
        <w:t>ClimAct</w:t>
      </w:r>
      <w:proofErr w:type="spellEnd"/>
      <w:r w:rsidRPr="00990065">
        <w:rPr>
          <w:rFonts w:ascii="Lato" w:eastAsia="Times New Roman" w:hAnsi="Lato" w:cs="Times New Roman"/>
          <w:color w:val="000000"/>
          <w:sz w:val="23"/>
          <w:szCs w:val="23"/>
          <w:lang w:eastAsia="fr-BE"/>
        </w:rPr>
        <w:t xml:space="preserve"> et la collaboration des acteurs de la filière française, a lancé la réalisation d’études sur la décarbonation des neufs secteurs français les plus </w:t>
      </w:r>
      <w:proofErr w:type="spellStart"/>
      <w:r w:rsidRPr="00990065">
        <w:rPr>
          <w:rFonts w:ascii="Lato" w:eastAsia="Times New Roman" w:hAnsi="Lato" w:cs="Times New Roman"/>
          <w:color w:val="000000"/>
          <w:sz w:val="23"/>
          <w:szCs w:val="23"/>
          <w:lang w:eastAsia="fr-BE"/>
        </w:rPr>
        <w:t>énergo</w:t>
      </w:r>
      <w:proofErr w:type="spellEnd"/>
      <w:r w:rsidRPr="00990065">
        <w:rPr>
          <w:rFonts w:ascii="Lato" w:eastAsia="Times New Roman" w:hAnsi="Lato" w:cs="Times New Roman"/>
          <w:color w:val="000000"/>
          <w:sz w:val="23"/>
          <w:szCs w:val="23"/>
          <w:lang w:eastAsia="fr-BE"/>
        </w:rPr>
        <w:t>-intensifs. Après une première synthèse sur la filière ciment, l’ADEME publie celle de la filière aluminium. </w:t>
      </w:r>
    </w:p>
    <w:p w14:paraId="400D010F" w14:textId="77777777" w:rsidR="00990065" w:rsidRPr="00990065" w:rsidRDefault="00990065" w:rsidP="00990065">
      <w:pPr>
        <w:shd w:val="clear" w:color="auto" w:fill="FFFFFF"/>
        <w:spacing w:before="75" w:after="75" w:line="240" w:lineRule="auto"/>
        <w:jc w:val="both"/>
        <w:rPr>
          <w:rFonts w:ascii="Lato" w:eastAsia="Times New Roman" w:hAnsi="Lato" w:cs="Times New Roman"/>
          <w:color w:val="000000"/>
          <w:sz w:val="23"/>
          <w:szCs w:val="23"/>
          <w:lang w:eastAsia="fr-BE"/>
        </w:rPr>
      </w:pPr>
      <w:r w:rsidRPr="00990065">
        <w:rPr>
          <w:rFonts w:ascii="Lato" w:eastAsia="Times New Roman" w:hAnsi="Lato" w:cs="Times New Roman"/>
          <w:color w:val="000000"/>
          <w:sz w:val="23"/>
          <w:szCs w:val="23"/>
          <w:lang w:eastAsia="fr-BE"/>
        </w:rPr>
        <w:t>Le plan de transition sectoriel, qui doit répondre aux enjeux climatiques et de souveraineté, s’inscrit dans un contexte post-Covid et de guerre en Ukraine, avec pour conséquence une forte augmentation des coûts de l’énergie.</w:t>
      </w:r>
    </w:p>
    <w:p w14:paraId="4DEE8366" w14:textId="77777777" w:rsidR="00990065" w:rsidRPr="00990065" w:rsidRDefault="00990065" w:rsidP="00990065">
      <w:pPr>
        <w:shd w:val="clear" w:color="auto" w:fill="FFFFFF"/>
        <w:spacing w:before="75" w:after="75" w:line="240" w:lineRule="auto"/>
        <w:jc w:val="both"/>
        <w:rPr>
          <w:rFonts w:ascii="Lato" w:eastAsia="Times New Roman" w:hAnsi="Lato" w:cs="Times New Roman"/>
          <w:color w:val="000000"/>
          <w:sz w:val="23"/>
          <w:szCs w:val="23"/>
          <w:lang w:eastAsia="fr-BE"/>
        </w:rPr>
      </w:pPr>
      <w:r w:rsidRPr="00990065">
        <w:rPr>
          <w:rFonts w:ascii="Lato" w:eastAsia="Times New Roman" w:hAnsi="Lato" w:cs="Times New Roman"/>
          <w:color w:val="000000"/>
          <w:sz w:val="23"/>
          <w:szCs w:val="23"/>
          <w:lang w:eastAsia="fr-BE"/>
        </w:rPr>
        <w:t>La France, et plus largement l’Europe, se sont engagées à réduire leurs émissions de gaz à effet de serre (GES) de 55% d’ici à 2030 (plan européen Fit for 55) et de 81% d’ici à 2050 (Stratégie Nationale Bas Carbone). Le défi est donc de taille pour l’Hexagone, qui doit essayer de maintenir son tissu industriel.</w:t>
      </w:r>
    </w:p>
    <w:p w14:paraId="5233CFEC" w14:textId="77777777" w:rsidR="00990065" w:rsidRPr="00990065" w:rsidRDefault="00990065" w:rsidP="00990065">
      <w:pPr>
        <w:shd w:val="clear" w:color="auto" w:fill="FFFFFF"/>
        <w:spacing w:before="75" w:after="75" w:line="240" w:lineRule="auto"/>
        <w:jc w:val="both"/>
        <w:rPr>
          <w:rFonts w:ascii="Lato" w:eastAsia="Times New Roman" w:hAnsi="Lato" w:cs="Times New Roman"/>
          <w:color w:val="000000"/>
          <w:sz w:val="23"/>
          <w:szCs w:val="23"/>
          <w:lang w:eastAsia="fr-BE"/>
        </w:rPr>
      </w:pPr>
      <w:r w:rsidRPr="00990065">
        <w:rPr>
          <w:rFonts w:ascii="Lato" w:eastAsia="Times New Roman" w:hAnsi="Lato" w:cs="Times New Roman"/>
          <w:color w:val="000000"/>
          <w:sz w:val="23"/>
          <w:szCs w:val="23"/>
          <w:lang w:eastAsia="fr-BE"/>
        </w:rPr>
        <w:t>Guillaume De Goys, président d’Aluminium France, rappelle que la France importe 1/2 million de tonnes d’aluminium par an et 700.000 tonnes de demi-produits. Ces importations sont 2 à 3 fois plus émettrices en carbone que la production française, et 5 fois plus quand elles proviennent de Chine. L’aluminium décarboné est essentiel à la transition énergétique. La France, qui possède déjà un savoir-faire en la matière, doit développer ses capacités de production d’aluminium primaire par électrolyse et de recyclage. La France a produit 894.000 tonnes d’aluminium en 2019, dont 53% issus du recyclage, par rapport à une moyenne nationale de 34%, rappelle l’ADEME. Le pays doit, en outre, de l’avis de Guillaume de Goys, agir sur deux leviers : sécuriser un approvisionnement en électricité décarbonée sur le long terme et élargir le Mécanisme d’Ajustement Carbone aux Frontières (MACF) aux chaînes de valeurs avals.</w:t>
      </w:r>
    </w:p>
    <w:p w14:paraId="28BC71D8" w14:textId="77777777" w:rsidR="00990065" w:rsidRPr="00990065" w:rsidRDefault="00990065" w:rsidP="00990065">
      <w:pPr>
        <w:shd w:val="clear" w:color="auto" w:fill="FFFFFF"/>
        <w:spacing w:before="75" w:after="75" w:line="240" w:lineRule="auto"/>
        <w:jc w:val="both"/>
        <w:rPr>
          <w:rFonts w:ascii="Lato" w:eastAsia="Times New Roman" w:hAnsi="Lato" w:cs="Times New Roman"/>
          <w:color w:val="000000"/>
          <w:sz w:val="23"/>
          <w:szCs w:val="23"/>
          <w:lang w:eastAsia="fr-BE"/>
        </w:rPr>
      </w:pPr>
      <w:r w:rsidRPr="00990065">
        <w:rPr>
          <w:rFonts w:ascii="Lato" w:eastAsia="Times New Roman" w:hAnsi="Lato" w:cs="Times New Roman"/>
          <w:color w:val="000000"/>
          <w:sz w:val="23"/>
          <w:szCs w:val="23"/>
          <w:lang w:eastAsia="fr-BE"/>
        </w:rPr>
        <w:t>L’industrie de l’aluminium génère 1,5% des émissions directes de GES de l’industrie manufacturière française. Ces émissions sont imputables aux deux tiers au procédé de fabrication de l’aluminium et à la consommation d’électricité. Fort heureusement, l’empreinte carbone de l’électricité en France est faible en raison d’un mix électrique favorable. La décarbonation du secteur s’articule autour de deux scenarii, basés sur des perspectives de croissance forte de la demande, qui impliquent l’ouverture de nouvelles capacités de production d’aluminium primaire et de recyclage dès 2030. La production d’alumine est également envisagée, pour maîtriser un maillon supplémentaire de la chaîne d’approvisionnement.</w:t>
      </w:r>
    </w:p>
    <w:p w14:paraId="60682E87" w14:textId="77777777" w:rsidR="00990065" w:rsidRPr="00990065" w:rsidRDefault="00990065" w:rsidP="00990065">
      <w:pPr>
        <w:shd w:val="clear" w:color="auto" w:fill="FFFFFF"/>
        <w:spacing w:before="75" w:after="75" w:line="240" w:lineRule="auto"/>
        <w:jc w:val="both"/>
        <w:rPr>
          <w:rFonts w:ascii="Lato" w:eastAsia="Times New Roman" w:hAnsi="Lato" w:cs="Times New Roman"/>
          <w:color w:val="000000"/>
          <w:sz w:val="23"/>
          <w:szCs w:val="23"/>
          <w:lang w:eastAsia="fr-BE"/>
        </w:rPr>
      </w:pPr>
      <w:r w:rsidRPr="00990065">
        <w:rPr>
          <w:rFonts w:ascii="Lato" w:eastAsia="Times New Roman" w:hAnsi="Lato" w:cs="Times New Roman"/>
          <w:color w:val="000000"/>
          <w:sz w:val="23"/>
          <w:szCs w:val="23"/>
          <w:lang w:eastAsia="fr-BE"/>
        </w:rPr>
        <w:t> </w:t>
      </w:r>
    </w:p>
    <w:p w14:paraId="17CDE0B0" w14:textId="77777777" w:rsidR="00990065" w:rsidRPr="00990065" w:rsidRDefault="00990065" w:rsidP="00990065">
      <w:pPr>
        <w:shd w:val="clear" w:color="auto" w:fill="FFFFFF"/>
        <w:spacing w:before="75" w:after="75" w:line="240" w:lineRule="auto"/>
        <w:jc w:val="both"/>
        <w:rPr>
          <w:rFonts w:ascii="Lato" w:eastAsia="Times New Roman" w:hAnsi="Lato" w:cs="Times New Roman"/>
          <w:color w:val="000000"/>
          <w:sz w:val="23"/>
          <w:szCs w:val="23"/>
          <w:lang w:eastAsia="fr-BE"/>
        </w:rPr>
      </w:pPr>
      <w:r w:rsidRPr="00990065">
        <w:rPr>
          <w:rFonts w:ascii="Lato" w:eastAsia="Times New Roman" w:hAnsi="Lato" w:cs="Times New Roman"/>
          <w:b/>
          <w:bCs/>
          <w:color w:val="A52A2A"/>
          <w:sz w:val="23"/>
          <w:szCs w:val="23"/>
          <w:lang w:eastAsia="fr-BE"/>
        </w:rPr>
        <w:t>Deux scenarii de décarbonation : « coopération internationale » et « polarisation régionale »</w:t>
      </w:r>
    </w:p>
    <w:p w14:paraId="50318C24" w14:textId="77777777" w:rsidR="00990065" w:rsidRPr="00990065" w:rsidRDefault="00990065" w:rsidP="00990065">
      <w:pPr>
        <w:shd w:val="clear" w:color="auto" w:fill="FFFFFF"/>
        <w:spacing w:before="75" w:after="75" w:line="240" w:lineRule="auto"/>
        <w:jc w:val="both"/>
        <w:rPr>
          <w:rFonts w:ascii="Lato" w:eastAsia="Times New Roman" w:hAnsi="Lato" w:cs="Times New Roman"/>
          <w:color w:val="000000"/>
          <w:sz w:val="23"/>
          <w:szCs w:val="23"/>
          <w:lang w:eastAsia="fr-BE"/>
        </w:rPr>
      </w:pPr>
      <w:r w:rsidRPr="00990065">
        <w:rPr>
          <w:rFonts w:ascii="Lato" w:eastAsia="Times New Roman" w:hAnsi="Lato" w:cs="Times New Roman"/>
          <w:color w:val="000000"/>
          <w:sz w:val="23"/>
          <w:szCs w:val="23"/>
          <w:lang w:eastAsia="fr-BE"/>
        </w:rPr>
        <w:t>Les deux scenarii du Plan de décarbonation de la filière à horizon 2050 - « coopération internationale » et « polarisation régionale » - intègrent la nécessité de garantir la souveraineté nationale.</w:t>
      </w:r>
    </w:p>
    <w:p w14:paraId="17DA1081" w14:textId="77777777" w:rsidR="00990065" w:rsidRPr="00990065" w:rsidRDefault="00990065" w:rsidP="00990065">
      <w:pPr>
        <w:shd w:val="clear" w:color="auto" w:fill="FFFFFF"/>
        <w:spacing w:before="75" w:after="75" w:line="240" w:lineRule="auto"/>
        <w:jc w:val="both"/>
        <w:rPr>
          <w:rFonts w:ascii="Lato" w:eastAsia="Times New Roman" w:hAnsi="Lato" w:cs="Times New Roman"/>
          <w:color w:val="000000"/>
          <w:sz w:val="23"/>
          <w:szCs w:val="23"/>
          <w:lang w:eastAsia="fr-BE"/>
        </w:rPr>
      </w:pPr>
      <w:r w:rsidRPr="00990065">
        <w:rPr>
          <w:rFonts w:ascii="Lato" w:eastAsia="Times New Roman" w:hAnsi="Lato" w:cs="Times New Roman"/>
          <w:color w:val="000000"/>
          <w:sz w:val="23"/>
          <w:szCs w:val="23"/>
          <w:lang w:eastAsia="fr-BE"/>
        </w:rPr>
        <w:lastRenderedPageBreak/>
        <w:t>Dans ces scenarii, deux conditions majeures déterminent les deux trajectoires de décarbonation : la disponibilité en anodes inertes et l’évolution du commerce international.</w:t>
      </w:r>
    </w:p>
    <w:p w14:paraId="23B7ED05" w14:textId="77777777" w:rsidR="00990065" w:rsidRPr="00990065" w:rsidRDefault="00990065" w:rsidP="00990065">
      <w:pPr>
        <w:shd w:val="clear" w:color="auto" w:fill="FFFFFF"/>
        <w:spacing w:before="75" w:after="75" w:line="240" w:lineRule="auto"/>
        <w:jc w:val="both"/>
        <w:rPr>
          <w:rFonts w:ascii="Lato" w:eastAsia="Times New Roman" w:hAnsi="Lato" w:cs="Times New Roman"/>
          <w:color w:val="000000"/>
          <w:sz w:val="23"/>
          <w:szCs w:val="23"/>
          <w:lang w:eastAsia="fr-BE"/>
        </w:rPr>
      </w:pPr>
      <w:r w:rsidRPr="00990065">
        <w:rPr>
          <w:rFonts w:ascii="Lato" w:eastAsia="Times New Roman" w:hAnsi="Lato" w:cs="Times New Roman"/>
          <w:color w:val="000000"/>
          <w:sz w:val="23"/>
          <w:szCs w:val="23"/>
          <w:lang w:eastAsia="fr-BE"/>
        </w:rPr>
        <w:t>L’anode inerte permet d’éliminer la quasi-totalité des émissions directes lors du processus de fabrication. Le coût de cette technologie est, en outre, inférieur à la technologie traditionnelle. L’interrogation porte sur son déploiement. Le premier scenario prévoit qu’il sera possible (à compter de 2032), le second considère qu’il ne le sera pas, et dans ce cas c’est la technologie du captage du carbone (à compter de 2030) qui est retenue. Les conditions du commerce international sont amenées à changer avec l’instauration du Mécanisme d’Ajustement Carbone aux Frontières (MACF) en Europe. C’est dans cette perspective que le deuxième scenario s’inscrit.</w:t>
      </w:r>
    </w:p>
    <w:p w14:paraId="620CAF95" w14:textId="77777777" w:rsidR="00990065" w:rsidRPr="00990065" w:rsidRDefault="00990065" w:rsidP="00990065">
      <w:pPr>
        <w:shd w:val="clear" w:color="auto" w:fill="FFFFFF"/>
        <w:spacing w:before="75" w:after="75" w:line="240" w:lineRule="auto"/>
        <w:jc w:val="both"/>
        <w:rPr>
          <w:rFonts w:ascii="Lato" w:eastAsia="Times New Roman" w:hAnsi="Lato" w:cs="Times New Roman"/>
          <w:color w:val="000000"/>
          <w:sz w:val="23"/>
          <w:szCs w:val="23"/>
          <w:lang w:eastAsia="fr-BE"/>
        </w:rPr>
      </w:pPr>
      <w:r w:rsidRPr="00990065">
        <w:rPr>
          <w:rFonts w:ascii="Lato" w:eastAsia="Times New Roman" w:hAnsi="Lato" w:cs="Times New Roman"/>
          <w:color w:val="000000"/>
          <w:sz w:val="23"/>
          <w:szCs w:val="23"/>
          <w:lang w:eastAsia="fr-BE"/>
        </w:rPr>
        <w:t>La technologie de l’anode inerte est développée par deux groupes, </w:t>
      </w:r>
      <w:proofErr w:type="spellStart"/>
      <w:r w:rsidRPr="00990065">
        <w:rPr>
          <w:rFonts w:ascii="Lato" w:eastAsia="Times New Roman" w:hAnsi="Lato" w:cs="Times New Roman"/>
          <w:b/>
          <w:bCs/>
          <w:color w:val="000000"/>
          <w:sz w:val="23"/>
          <w:szCs w:val="23"/>
          <w:lang w:eastAsia="fr-BE"/>
        </w:rPr>
        <w:t>Elysis</w:t>
      </w:r>
      <w:proofErr w:type="spellEnd"/>
      <w:r w:rsidRPr="00990065">
        <w:rPr>
          <w:rFonts w:ascii="Lato" w:eastAsia="Times New Roman" w:hAnsi="Lato" w:cs="Times New Roman"/>
          <w:b/>
          <w:bCs/>
          <w:color w:val="000000"/>
          <w:sz w:val="23"/>
          <w:szCs w:val="23"/>
          <w:lang w:eastAsia="fr-BE"/>
        </w:rPr>
        <w:t> </w:t>
      </w:r>
      <w:r w:rsidRPr="00990065">
        <w:rPr>
          <w:rFonts w:ascii="Lato" w:eastAsia="Times New Roman" w:hAnsi="Lato" w:cs="Times New Roman"/>
          <w:color w:val="000000"/>
          <w:sz w:val="23"/>
          <w:szCs w:val="23"/>
          <w:lang w:eastAsia="fr-BE"/>
        </w:rPr>
        <w:t>(</w:t>
      </w:r>
      <w:proofErr w:type="spellStart"/>
      <w:r w:rsidRPr="00990065">
        <w:rPr>
          <w:rFonts w:ascii="Lato" w:eastAsia="Times New Roman" w:hAnsi="Lato" w:cs="Times New Roman"/>
          <w:color w:val="000000"/>
          <w:sz w:val="23"/>
          <w:szCs w:val="23"/>
          <w:lang w:eastAsia="fr-BE"/>
        </w:rPr>
        <w:t>jv</w:t>
      </w:r>
      <w:proofErr w:type="spellEnd"/>
      <w:r w:rsidRPr="00990065">
        <w:rPr>
          <w:rFonts w:ascii="Lato" w:eastAsia="Times New Roman" w:hAnsi="Lato" w:cs="Times New Roman"/>
          <w:color w:val="000000"/>
          <w:sz w:val="23"/>
          <w:szCs w:val="23"/>
          <w:lang w:eastAsia="fr-BE"/>
        </w:rPr>
        <w:t xml:space="preserve"> entre </w:t>
      </w:r>
      <w:r w:rsidRPr="00990065">
        <w:rPr>
          <w:rFonts w:ascii="Lato" w:eastAsia="Times New Roman" w:hAnsi="Lato" w:cs="Times New Roman"/>
          <w:b/>
          <w:bCs/>
          <w:color w:val="000000"/>
          <w:sz w:val="23"/>
          <w:szCs w:val="23"/>
          <w:lang w:eastAsia="fr-BE"/>
        </w:rPr>
        <w:t>Rio Tinto</w:t>
      </w:r>
      <w:r w:rsidRPr="00990065">
        <w:rPr>
          <w:rFonts w:ascii="Lato" w:eastAsia="Times New Roman" w:hAnsi="Lato" w:cs="Times New Roman"/>
          <w:color w:val="000000"/>
          <w:sz w:val="23"/>
          <w:szCs w:val="23"/>
          <w:lang w:eastAsia="fr-BE"/>
        </w:rPr>
        <w:t> et </w:t>
      </w:r>
      <w:r w:rsidRPr="00990065">
        <w:rPr>
          <w:rFonts w:ascii="Lato" w:eastAsia="Times New Roman" w:hAnsi="Lato" w:cs="Times New Roman"/>
          <w:b/>
          <w:bCs/>
          <w:color w:val="000000"/>
          <w:sz w:val="23"/>
          <w:szCs w:val="23"/>
          <w:lang w:eastAsia="fr-BE"/>
        </w:rPr>
        <w:t>Alcoa</w:t>
      </w:r>
      <w:r w:rsidRPr="00990065">
        <w:rPr>
          <w:rFonts w:ascii="Lato" w:eastAsia="Times New Roman" w:hAnsi="Lato" w:cs="Times New Roman"/>
          <w:color w:val="000000"/>
          <w:sz w:val="23"/>
          <w:szCs w:val="23"/>
          <w:lang w:eastAsia="fr-BE"/>
        </w:rPr>
        <w:t xml:space="preserve">) au Québec et </w:t>
      </w:r>
      <w:proofErr w:type="spellStart"/>
      <w:r w:rsidRPr="00990065">
        <w:rPr>
          <w:rFonts w:ascii="Lato" w:eastAsia="Times New Roman" w:hAnsi="Lato" w:cs="Times New Roman"/>
          <w:color w:val="000000"/>
          <w:sz w:val="23"/>
          <w:szCs w:val="23"/>
          <w:lang w:eastAsia="fr-BE"/>
        </w:rPr>
        <w:t>Rusal</w:t>
      </w:r>
      <w:proofErr w:type="spellEnd"/>
      <w:r w:rsidRPr="00990065">
        <w:rPr>
          <w:rFonts w:ascii="Lato" w:eastAsia="Times New Roman" w:hAnsi="Lato" w:cs="Times New Roman"/>
          <w:color w:val="000000"/>
          <w:sz w:val="23"/>
          <w:szCs w:val="23"/>
          <w:lang w:eastAsia="fr-BE"/>
        </w:rPr>
        <w:t xml:space="preserve"> sur son site Krasnoïarsk en Sibérie. La commercialisation des anodes inertes pourrait intervenir à horizon 2025-2030. Mais de nombreuses incertitudes existent tant l’enjeu est stratégique. Quant au captage du carbone, des avancées technologiques sont également nécessaires. Il se fait au niveau des cuves d’électrolyse, mais en raison de sa faible concentration dans les fumées (moins de 1%), des opérations sont à effectuer pour atteindre un taux minimum de 4%.</w:t>
      </w:r>
    </w:p>
    <w:p w14:paraId="1BB8CE02" w14:textId="77777777" w:rsidR="00990065" w:rsidRPr="00990065" w:rsidRDefault="00990065" w:rsidP="00990065">
      <w:pPr>
        <w:shd w:val="clear" w:color="auto" w:fill="FFFFFF"/>
        <w:spacing w:before="75" w:after="75" w:line="240" w:lineRule="auto"/>
        <w:jc w:val="both"/>
        <w:rPr>
          <w:rFonts w:ascii="Lato" w:eastAsia="Times New Roman" w:hAnsi="Lato" w:cs="Times New Roman"/>
          <w:color w:val="000000"/>
          <w:sz w:val="23"/>
          <w:szCs w:val="23"/>
          <w:lang w:eastAsia="fr-BE"/>
        </w:rPr>
      </w:pPr>
      <w:r w:rsidRPr="00990065">
        <w:rPr>
          <w:rFonts w:ascii="Lato" w:eastAsia="Times New Roman" w:hAnsi="Lato" w:cs="Times New Roman"/>
          <w:color w:val="000000"/>
          <w:sz w:val="23"/>
          <w:szCs w:val="23"/>
          <w:lang w:eastAsia="fr-BE"/>
        </w:rPr>
        <w:t>Dans le scenario de « coopération internationale », 415.000 t/an de nouvelles capacités d’aluminium primaire seront ajoutées. Dans le scenario de « polarisation régionale » ce sont 315.000 t/an.  L’investissement nécessaire à la réalisation du premier scenario s’élève à 3,3 milliards d’euros, celui du second s’établit à 3,4 Mds, dont 40% dédiés à l’ouverture de nouvelles capacités d’aluminium primaire et de recyclage.</w:t>
      </w:r>
    </w:p>
    <w:p w14:paraId="1BC3E544" w14:textId="77777777" w:rsidR="00990065" w:rsidRPr="00990065" w:rsidRDefault="00990065" w:rsidP="00990065">
      <w:pPr>
        <w:shd w:val="clear" w:color="auto" w:fill="FFFFFF"/>
        <w:spacing w:before="75" w:after="75" w:line="240" w:lineRule="auto"/>
        <w:jc w:val="both"/>
        <w:rPr>
          <w:rFonts w:ascii="Lato" w:eastAsia="Times New Roman" w:hAnsi="Lato" w:cs="Times New Roman"/>
          <w:color w:val="000000"/>
          <w:sz w:val="23"/>
          <w:szCs w:val="23"/>
          <w:lang w:eastAsia="fr-BE"/>
        </w:rPr>
      </w:pPr>
      <w:r w:rsidRPr="00990065">
        <w:rPr>
          <w:rFonts w:ascii="Lato" w:eastAsia="Times New Roman" w:hAnsi="Lato" w:cs="Times New Roman"/>
          <w:color w:val="000000"/>
          <w:sz w:val="23"/>
          <w:szCs w:val="23"/>
          <w:lang w:eastAsia="fr-BE"/>
        </w:rPr>
        <w:t>Les deux scenarii intègrent le développement de capacités de recyclage. Aujourd’hui, celles-ci ne sont pas en mesure de traiter le gisement disponible sur le territoire. 70% des déchets français sont exportés. Mais, la filière de l’affinage, alors que l’on attend d’elle qu’elle se développe, est menacée : les recycleurs sont étranglés avec, d’un côté, des déchets de plus en plus chers car convoités, et de l’autre, des prix d’alliages tirés à la baisse par l’industrie automobile.</w:t>
      </w:r>
    </w:p>
    <w:p w14:paraId="453F2091" w14:textId="77777777" w:rsidR="00990065" w:rsidRPr="00990065" w:rsidRDefault="00990065" w:rsidP="00990065">
      <w:pPr>
        <w:shd w:val="clear" w:color="auto" w:fill="FFFFFF"/>
        <w:spacing w:before="75" w:after="75" w:line="240" w:lineRule="auto"/>
        <w:jc w:val="both"/>
        <w:rPr>
          <w:rFonts w:ascii="Lato" w:eastAsia="Times New Roman" w:hAnsi="Lato" w:cs="Times New Roman"/>
          <w:color w:val="000000"/>
          <w:sz w:val="23"/>
          <w:szCs w:val="23"/>
          <w:lang w:eastAsia="fr-BE"/>
        </w:rPr>
      </w:pPr>
      <w:r w:rsidRPr="00990065">
        <w:rPr>
          <w:rFonts w:ascii="Lato" w:eastAsia="Times New Roman" w:hAnsi="Lato" w:cs="Times New Roman"/>
          <w:color w:val="000000"/>
          <w:sz w:val="23"/>
          <w:szCs w:val="23"/>
          <w:lang w:eastAsia="fr-BE"/>
        </w:rPr>
        <w:t> </w:t>
      </w:r>
    </w:p>
    <w:p w14:paraId="7420035E" w14:textId="77777777" w:rsidR="00990065" w:rsidRPr="00990065" w:rsidRDefault="00990065" w:rsidP="00990065">
      <w:pPr>
        <w:shd w:val="clear" w:color="auto" w:fill="FFFFFF"/>
        <w:spacing w:before="75" w:after="75" w:line="240" w:lineRule="auto"/>
        <w:jc w:val="both"/>
        <w:rPr>
          <w:rFonts w:ascii="Lato" w:eastAsia="Times New Roman" w:hAnsi="Lato" w:cs="Times New Roman"/>
          <w:color w:val="000000"/>
          <w:sz w:val="23"/>
          <w:szCs w:val="23"/>
          <w:lang w:eastAsia="fr-BE"/>
        </w:rPr>
      </w:pPr>
      <w:r w:rsidRPr="00990065">
        <w:rPr>
          <w:rFonts w:ascii="Lato" w:eastAsia="Times New Roman" w:hAnsi="Lato" w:cs="Times New Roman"/>
          <w:color w:val="000000"/>
          <w:sz w:val="23"/>
          <w:szCs w:val="23"/>
          <w:lang w:eastAsia="fr-BE"/>
        </w:rPr>
        <w:t> </w:t>
      </w:r>
    </w:p>
    <w:p w14:paraId="2D31A71B" w14:textId="77777777" w:rsidR="001213A5" w:rsidRDefault="001213A5"/>
    <w:sectPr w:rsidR="001213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65"/>
    <w:rsid w:val="001213A5"/>
    <w:rsid w:val="0099006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E800"/>
  <w15:chartTrackingRefBased/>
  <w15:docId w15:val="{5F90AE82-2E59-4204-A236-48DB3296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95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863</Words>
  <Characters>4752</Characters>
  <Application>Microsoft Office Word</Application>
  <DocSecurity>0</DocSecurity>
  <Lines>39</Lines>
  <Paragraphs>11</Paragraphs>
  <ScaleCrop>false</ScaleCrop>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2023-04-11T06:59:00Z</dcterms:created>
  <dcterms:modified xsi:type="dcterms:W3CDTF">2023-04-11T07:03:00Z</dcterms:modified>
</cp:coreProperties>
</file>